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82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ohlraumboden - Neubau Stadthaus 4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Nass- und Trockenhohlraumboden auf 12.800m2 über fünf Etagen und vier Bauteil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